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05D" w:rsidRPr="00D73D3B" w:rsidRDefault="00ED505D" w:rsidP="00D73D3B">
      <w:pPr>
        <w:jc w:val="center"/>
        <w:rPr>
          <w:sz w:val="36"/>
        </w:rPr>
      </w:pPr>
      <w:r w:rsidRPr="00D73D3B">
        <w:rPr>
          <w:rFonts w:hint="eastAsia"/>
          <w:sz w:val="36"/>
        </w:rPr>
        <w:t>同行援護のアセスメント調査票</w:t>
      </w:r>
    </w:p>
    <w:p w:rsidR="00936736" w:rsidRPr="00D73D3B" w:rsidRDefault="00D73D3B" w:rsidP="00D73D3B">
      <w:pPr>
        <w:spacing w:afterLines="50" w:after="180"/>
        <w:ind w:firstLineChars="2500" w:firstLine="6000"/>
        <w:rPr>
          <w:sz w:val="24"/>
          <w:u w:val="single"/>
        </w:rPr>
      </w:pPr>
      <w:bookmarkStart w:id="0" w:name="_GoBack"/>
      <w:bookmarkEnd w:id="0"/>
      <w:r w:rsidRPr="00D73D3B">
        <w:rPr>
          <w:rFonts w:hint="eastAsia"/>
          <w:sz w:val="24"/>
          <w:u w:val="single"/>
        </w:rPr>
        <w:t xml:space="preserve">氏名：　　　　　　　　　　　　　</w:t>
      </w:r>
    </w:p>
    <w:tbl>
      <w:tblPr>
        <w:tblStyle w:val="a3"/>
        <w:tblW w:w="4696" w:type="pct"/>
        <w:tblLook w:val="04A0" w:firstRow="1" w:lastRow="0" w:firstColumn="1" w:lastColumn="0" w:noHBand="0" w:noVBand="1"/>
      </w:tblPr>
      <w:tblGrid>
        <w:gridCol w:w="563"/>
        <w:gridCol w:w="1530"/>
        <w:gridCol w:w="1587"/>
        <w:gridCol w:w="1701"/>
        <w:gridCol w:w="1701"/>
        <w:gridCol w:w="1420"/>
        <w:gridCol w:w="1318"/>
      </w:tblGrid>
      <w:tr w:rsidR="003B4538" w:rsidRPr="00ED505D" w:rsidTr="00936736">
        <w:trPr>
          <w:cantSplit/>
          <w:trHeight w:val="546"/>
        </w:trPr>
        <w:tc>
          <w:tcPr>
            <w:tcW w:w="287" w:type="pct"/>
            <w:textDirection w:val="tbRlV"/>
            <w:vAlign w:val="center"/>
          </w:tcPr>
          <w:p w:rsidR="00ED505D" w:rsidRPr="00ED505D" w:rsidRDefault="00ED505D" w:rsidP="003B4538">
            <w:pPr>
              <w:spacing w:line="240" w:lineRule="exact"/>
              <w:ind w:left="113" w:right="113"/>
              <w:jc w:val="center"/>
              <w:rPr>
                <w:sz w:val="16"/>
              </w:rPr>
            </w:pPr>
          </w:p>
        </w:tc>
        <w:tc>
          <w:tcPr>
            <w:tcW w:w="779" w:type="pct"/>
            <w:vAlign w:val="center"/>
          </w:tcPr>
          <w:p w:rsidR="00ED505D" w:rsidRPr="00ED505D" w:rsidRDefault="00ED505D" w:rsidP="003B4538">
            <w:pPr>
              <w:spacing w:line="240" w:lineRule="exact"/>
              <w:rPr>
                <w:sz w:val="16"/>
              </w:rPr>
            </w:pPr>
            <w:r w:rsidRPr="00ED505D">
              <w:rPr>
                <w:rFonts w:hint="eastAsia"/>
                <w:sz w:val="16"/>
              </w:rPr>
              <w:t>調査項目</w:t>
            </w:r>
          </w:p>
        </w:tc>
        <w:tc>
          <w:tcPr>
            <w:tcW w:w="808" w:type="pct"/>
            <w:vAlign w:val="center"/>
          </w:tcPr>
          <w:p w:rsidR="00ED505D" w:rsidRPr="00ED505D" w:rsidRDefault="00ED505D" w:rsidP="003B4538">
            <w:pPr>
              <w:spacing w:line="240" w:lineRule="exact"/>
              <w:rPr>
                <w:sz w:val="16"/>
              </w:rPr>
            </w:pPr>
            <w:r w:rsidRPr="00ED505D">
              <w:rPr>
                <w:rFonts w:hint="eastAsia"/>
                <w:sz w:val="16"/>
              </w:rPr>
              <w:t>０点</w:t>
            </w:r>
          </w:p>
        </w:tc>
        <w:tc>
          <w:tcPr>
            <w:tcW w:w="866" w:type="pct"/>
            <w:vAlign w:val="center"/>
          </w:tcPr>
          <w:p w:rsidR="00ED505D" w:rsidRPr="00ED505D" w:rsidRDefault="00ED505D" w:rsidP="003B4538">
            <w:pPr>
              <w:spacing w:line="240" w:lineRule="exact"/>
              <w:rPr>
                <w:sz w:val="16"/>
              </w:rPr>
            </w:pPr>
            <w:r w:rsidRPr="00ED505D">
              <w:rPr>
                <w:rFonts w:hint="eastAsia"/>
                <w:sz w:val="16"/>
              </w:rPr>
              <w:t>１点</w:t>
            </w:r>
          </w:p>
        </w:tc>
        <w:tc>
          <w:tcPr>
            <w:tcW w:w="866" w:type="pct"/>
            <w:vAlign w:val="center"/>
          </w:tcPr>
          <w:p w:rsidR="00ED505D" w:rsidRPr="00ED505D" w:rsidRDefault="00ED505D" w:rsidP="003B4538">
            <w:pPr>
              <w:spacing w:line="240" w:lineRule="exact"/>
              <w:rPr>
                <w:sz w:val="16"/>
              </w:rPr>
            </w:pPr>
            <w:r w:rsidRPr="00ED505D">
              <w:rPr>
                <w:rFonts w:hint="eastAsia"/>
                <w:sz w:val="16"/>
              </w:rPr>
              <w:t>２点</w:t>
            </w:r>
          </w:p>
        </w:tc>
        <w:tc>
          <w:tcPr>
            <w:tcW w:w="723" w:type="pct"/>
            <w:vAlign w:val="center"/>
          </w:tcPr>
          <w:p w:rsidR="00ED505D" w:rsidRPr="00ED505D" w:rsidRDefault="00ED505D" w:rsidP="003B4538">
            <w:pPr>
              <w:spacing w:line="240" w:lineRule="exact"/>
              <w:rPr>
                <w:sz w:val="16"/>
              </w:rPr>
            </w:pPr>
            <w:r w:rsidRPr="00ED505D">
              <w:rPr>
                <w:rFonts w:hint="eastAsia"/>
                <w:sz w:val="16"/>
              </w:rPr>
              <w:t>特記事項</w:t>
            </w:r>
          </w:p>
        </w:tc>
        <w:tc>
          <w:tcPr>
            <w:tcW w:w="671" w:type="pct"/>
            <w:vAlign w:val="center"/>
          </w:tcPr>
          <w:p w:rsidR="00ED505D" w:rsidRPr="00ED505D" w:rsidRDefault="00ED505D" w:rsidP="003B4538">
            <w:pPr>
              <w:spacing w:line="240" w:lineRule="exact"/>
              <w:rPr>
                <w:sz w:val="16"/>
              </w:rPr>
            </w:pPr>
            <w:r w:rsidRPr="00ED505D">
              <w:rPr>
                <w:rFonts w:hint="eastAsia"/>
                <w:sz w:val="16"/>
              </w:rPr>
              <w:t>備考</w:t>
            </w:r>
          </w:p>
        </w:tc>
      </w:tr>
      <w:tr w:rsidR="00936736" w:rsidRPr="00ED505D" w:rsidTr="00A70E08">
        <w:trPr>
          <w:cantSplit/>
          <w:trHeight w:val="1298"/>
        </w:trPr>
        <w:tc>
          <w:tcPr>
            <w:tcW w:w="287" w:type="pct"/>
            <w:vMerge w:val="restart"/>
            <w:tcBorders>
              <w:bottom w:val="single" w:sz="4" w:space="0" w:color="auto"/>
            </w:tcBorders>
            <w:textDirection w:val="tbRlV"/>
            <w:vAlign w:val="center"/>
          </w:tcPr>
          <w:p w:rsidR="00936736" w:rsidRPr="00ED505D" w:rsidRDefault="00936736" w:rsidP="003B4538">
            <w:pPr>
              <w:spacing w:line="240" w:lineRule="exact"/>
              <w:ind w:left="113" w:right="113"/>
              <w:jc w:val="center"/>
              <w:rPr>
                <w:sz w:val="16"/>
              </w:rPr>
            </w:pPr>
            <w:r w:rsidRPr="00ED505D">
              <w:rPr>
                <w:rFonts w:hint="eastAsia"/>
                <w:sz w:val="16"/>
              </w:rPr>
              <w:t>視力障害</w:t>
            </w:r>
          </w:p>
        </w:tc>
        <w:tc>
          <w:tcPr>
            <w:tcW w:w="779" w:type="pct"/>
            <w:vMerge w:val="restart"/>
            <w:tcBorders>
              <w:bottom w:val="single" w:sz="4" w:space="0" w:color="auto"/>
            </w:tcBorders>
            <w:vAlign w:val="center"/>
          </w:tcPr>
          <w:p w:rsidR="00936736" w:rsidRPr="00ED505D" w:rsidRDefault="00936736" w:rsidP="003B4538">
            <w:pPr>
              <w:spacing w:line="240" w:lineRule="exact"/>
              <w:rPr>
                <w:sz w:val="16"/>
              </w:rPr>
            </w:pPr>
            <w:r w:rsidRPr="00ED505D">
              <w:rPr>
                <w:rFonts w:hint="eastAsia"/>
                <w:sz w:val="16"/>
              </w:rPr>
              <w:t>視力</w:t>
            </w:r>
          </w:p>
        </w:tc>
        <w:tc>
          <w:tcPr>
            <w:tcW w:w="808" w:type="pct"/>
            <w:vMerge w:val="restart"/>
            <w:tcBorders>
              <w:bottom w:val="single" w:sz="4" w:space="0" w:color="auto"/>
            </w:tcBorders>
            <w:vAlign w:val="center"/>
          </w:tcPr>
          <w:p w:rsidR="00936736" w:rsidRPr="00ED505D" w:rsidRDefault="00936736" w:rsidP="003B4538">
            <w:pPr>
              <w:spacing w:line="240" w:lineRule="exact"/>
              <w:rPr>
                <w:sz w:val="16"/>
              </w:rPr>
            </w:pPr>
            <w:r w:rsidRPr="00ED505D">
              <w:rPr>
                <w:rFonts w:hint="eastAsia"/>
                <w:sz w:val="16"/>
              </w:rPr>
              <w:t>普通（日常生活に支障がない）</w:t>
            </w:r>
          </w:p>
        </w:tc>
        <w:tc>
          <w:tcPr>
            <w:tcW w:w="866" w:type="pct"/>
            <w:tcBorders>
              <w:bottom w:val="single" w:sz="4" w:space="0" w:color="auto"/>
            </w:tcBorders>
            <w:vAlign w:val="center"/>
          </w:tcPr>
          <w:p w:rsidR="00936736" w:rsidRPr="00936736" w:rsidRDefault="00936736" w:rsidP="003B4538">
            <w:pPr>
              <w:spacing w:line="240" w:lineRule="exact"/>
              <w:rPr>
                <w:sz w:val="16"/>
              </w:rPr>
            </w:pPr>
            <w:r w:rsidRPr="00ED505D">
              <w:rPr>
                <w:rFonts w:hint="eastAsia"/>
                <w:sz w:val="16"/>
              </w:rPr>
              <w:t>約１ｍ離れた視力確認表の図は見ることができるが、目の前に置いた場合は見ることができない。</w:t>
            </w:r>
          </w:p>
        </w:tc>
        <w:tc>
          <w:tcPr>
            <w:tcW w:w="866" w:type="pct"/>
            <w:tcBorders>
              <w:bottom w:val="single" w:sz="4" w:space="0" w:color="auto"/>
            </w:tcBorders>
            <w:vAlign w:val="center"/>
          </w:tcPr>
          <w:p w:rsidR="00936736" w:rsidRPr="00ED505D" w:rsidRDefault="00936736" w:rsidP="003B4538">
            <w:pPr>
              <w:spacing w:line="240" w:lineRule="exact"/>
              <w:rPr>
                <w:sz w:val="16"/>
              </w:rPr>
            </w:pPr>
            <w:r w:rsidRPr="00ED505D">
              <w:rPr>
                <w:rFonts w:hint="eastAsia"/>
                <w:sz w:val="16"/>
              </w:rPr>
              <w:t>ほとんど見えない。</w:t>
            </w:r>
          </w:p>
        </w:tc>
        <w:tc>
          <w:tcPr>
            <w:tcW w:w="723" w:type="pct"/>
            <w:vMerge w:val="restart"/>
            <w:tcBorders>
              <w:bottom w:val="single" w:sz="4" w:space="0" w:color="auto"/>
            </w:tcBorders>
            <w:vAlign w:val="center"/>
          </w:tcPr>
          <w:p w:rsidR="00936736" w:rsidRPr="00ED505D" w:rsidRDefault="00936736" w:rsidP="003B4538">
            <w:pPr>
              <w:spacing w:line="240" w:lineRule="exact"/>
              <w:rPr>
                <w:sz w:val="16"/>
              </w:rPr>
            </w:pPr>
          </w:p>
        </w:tc>
        <w:tc>
          <w:tcPr>
            <w:tcW w:w="671" w:type="pct"/>
            <w:vMerge w:val="restart"/>
            <w:tcBorders>
              <w:bottom w:val="single" w:sz="4" w:space="0" w:color="auto"/>
            </w:tcBorders>
            <w:vAlign w:val="center"/>
          </w:tcPr>
          <w:p w:rsidR="00936736" w:rsidRPr="00ED505D" w:rsidRDefault="00936736" w:rsidP="003B4538">
            <w:pPr>
              <w:spacing w:line="240" w:lineRule="exact"/>
              <w:rPr>
                <w:sz w:val="16"/>
              </w:rPr>
            </w:pPr>
            <w:r w:rsidRPr="00ED505D">
              <w:rPr>
                <w:rFonts w:hint="eastAsia"/>
                <w:sz w:val="16"/>
              </w:rPr>
              <w:t>矯正視力による測定とする。</w:t>
            </w:r>
          </w:p>
        </w:tc>
      </w:tr>
      <w:tr w:rsidR="00936736" w:rsidRPr="00ED505D" w:rsidTr="00A70E08">
        <w:trPr>
          <w:cantSplit/>
          <w:trHeight w:val="982"/>
        </w:trPr>
        <w:tc>
          <w:tcPr>
            <w:tcW w:w="287" w:type="pct"/>
            <w:vMerge/>
            <w:textDirection w:val="tbRlV"/>
            <w:vAlign w:val="center"/>
          </w:tcPr>
          <w:p w:rsidR="00936736" w:rsidRPr="00ED505D" w:rsidRDefault="00936736" w:rsidP="003B4538">
            <w:pPr>
              <w:spacing w:line="240" w:lineRule="exact"/>
              <w:ind w:left="113" w:right="113"/>
              <w:jc w:val="center"/>
              <w:rPr>
                <w:sz w:val="16"/>
              </w:rPr>
            </w:pPr>
          </w:p>
        </w:tc>
        <w:tc>
          <w:tcPr>
            <w:tcW w:w="779" w:type="pct"/>
            <w:vMerge/>
            <w:vAlign w:val="center"/>
          </w:tcPr>
          <w:p w:rsidR="00936736" w:rsidRPr="00ED505D" w:rsidRDefault="00936736" w:rsidP="003B4538">
            <w:pPr>
              <w:spacing w:line="240" w:lineRule="exact"/>
              <w:rPr>
                <w:sz w:val="16"/>
              </w:rPr>
            </w:pPr>
          </w:p>
        </w:tc>
        <w:tc>
          <w:tcPr>
            <w:tcW w:w="808" w:type="pct"/>
            <w:vMerge/>
            <w:vAlign w:val="center"/>
          </w:tcPr>
          <w:p w:rsidR="00936736" w:rsidRPr="00ED505D" w:rsidRDefault="00936736" w:rsidP="003B4538">
            <w:pPr>
              <w:spacing w:line="240" w:lineRule="exact"/>
              <w:rPr>
                <w:sz w:val="16"/>
              </w:rPr>
            </w:pPr>
          </w:p>
        </w:tc>
        <w:tc>
          <w:tcPr>
            <w:tcW w:w="866" w:type="pct"/>
            <w:vAlign w:val="center"/>
          </w:tcPr>
          <w:p w:rsidR="00936736" w:rsidRPr="00ED505D" w:rsidRDefault="00936736" w:rsidP="00936736">
            <w:pPr>
              <w:spacing w:line="240" w:lineRule="exact"/>
              <w:rPr>
                <w:sz w:val="16"/>
              </w:rPr>
            </w:pPr>
            <w:r w:rsidRPr="00ED505D">
              <w:rPr>
                <w:rFonts w:hint="eastAsia"/>
                <w:sz w:val="16"/>
              </w:rPr>
              <w:t>目の前に置いた視力確認表の図は見ることができるが、遠ざかると見ることができない。</w:t>
            </w:r>
          </w:p>
        </w:tc>
        <w:tc>
          <w:tcPr>
            <w:tcW w:w="866" w:type="pct"/>
            <w:vAlign w:val="center"/>
          </w:tcPr>
          <w:p w:rsidR="00936736" w:rsidRPr="00ED505D" w:rsidRDefault="00936736" w:rsidP="003B4538">
            <w:pPr>
              <w:spacing w:line="240" w:lineRule="exact"/>
              <w:rPr>
                <w:sz w:val="16"/>
              </w:rPr>
            </w:pPr>
            <w:r w:rsidRPr="00ED505D">
              <w:rPr>
                <w:rFonts w:hint="eastAsia"/>
                <w:sz w:val="16"/>
              </w:rPr>
              <w:t>見えているのか判断不能である。</w:t>
            </w:r>
          </w:p>
        </w:tc>
        <w:tc>
          <w:tcPr>
            <w:tcW w:w="723" w:type="pct"/>
            <w:vMerge/>
            <w:vAlign w:val="center"/>
          </w:tcPr>
          <w:p w:rsidR="00936736" w:rsidRPr="00ED505D" w:rsidRDefault="00936736" w:rsidP="003B4538">
            <w:pPr>
              <w:spacing w:line="240" w:lineRule="exact"/>
              <w:rPr>
                <w:sz w:val="16"/>
              </w:rPr>
            </w:pPr>
          </w:p>
        </w:tc>
        <w:tc>
          <w:tcPr>
            <w:tcW w:w="671" w:type="pct"/>
            <w:vMerge/>
            <w:vAlign w:val="center"/>
          </w:tcPr>
          <w:p w:rsidR="00936736" w:rsidRPr="00ED505D" w:rsidRDefault="00936736" w:rsidP="003B4538">
            <w:pPr>
              <w:spacing w:line="240" w:lineRule="exact"/>
              <w:rPr>
                <w:sz w:val="16"/>
              </w:rPr>
            </w:pPr>
          </w:p>
        </w:tc>
      </w:tr>
      <w:tr w:rsidR="00A70E08" w:rsidRPr="00ED505D" w:rsidTr="00A70E08">
        <w:trPr>
          <w:cantSplit/>
          <w:trHeight w:val="1391"/>
        </w:trPr>
        <w:tc>
          <w:tcPr>
            <w:tcW w:w="287" w:type="pct"/>
            <w:vMerge w:val="restart"/>
            <w:textDirection w:val="tbRlV"/>
            <w:vAlign w:val="center"/>
          </w:tcPr>
          <w:p w:rsidR="00A70E08" w:rsidRPr="00ED505D" w:rsidRDefault="00A70E08" w:rsidP="003B4538">
            <w:pPr>
              <w:spacing w:line="240" w:lineRule="exact"/>
              <w:ind w:left="113" w:right="113"/>
              <w:jc w:val="center"/>
              <w:rPr>
                <w:sz w:val="16"/>
              </w:rPr>
            </w:pPr>
            <w:r>
              <w:rPr>
                <w:rFonts w:hint="eastAsia"/>
                <w:sz w:val="16"/>
              </w:rPr>
              <w:t>視野障害</w:t>
            </w:r>
          </w:p>
        </w:tc>
        <w:tc>
          <w:tcPr>
            <w:tcW w:w="779" w:type="pct"/>
            <w:vMerge w:val="restart"/>
            <w:vAlign w:val="center"/>
          </w:tcPr>
          <w:p w:rsidR="00A70E08" w:rsidRPr="00ED505D" w:rsidRDefault="00A70E08" w:rsidP="003B4538">
            <w:pPr>
              <w:spacing w:line="240" w:lineRule="exact"/>
              <w:rPr>
                <w:sz w:val="16"/>
              </w:rPr>
            </w:pPr>
            <w:r>
              <w:rPr>
                <w:rFonts w:hint="eastAsia"/>
                <w:sz w:val="16"/>
              </w:rPr>
              <w:t>視野</w:t>
            </w:r>
          </w:p>
        </w:tc>
        <w:tc>
          <w:tcPr>
            <w:tcW w:w="808" w:type="pct"/>
            <w:vMerge w:val="restart"/>
            <w:vAlign w:val="center"/>
          </w:tcPr>
          <w:p w:rsidR="00A70E08" w:rsidRDefault="00A70E08" w:rsidP="003B4538">
            <w:pPr>
              <w:spacing w:line="240" w:lineRule="exact"/>
              <w:rPr>
                <w:sz w:val="16"/>
              </w:rPr>
            </w:pPr>
            <w:r>
              <w:rPr>
                <w:rFonts w:hint="eastAsia"/>
                <w:sz w:val="16"/>
              </w:rPr>
              <w:t>ない</w:t>
            </w:r>
          </w:p>
          <w:p w:rsidR="00A70E08" w:rsidRPr="00ED505D" w:rsidRDefault="00A70E08" w:rsidP="003B4538">
            <w:pPr>
              <w:spacing w:line="240" w:lineRule="exact"/>
              <w:rPr>
                <w:sz w:val="16"/>
              </w:rPr>
            </w:pPr>
            <w:r>
              <w:rPr>
                <w:rFonts w:hint="eastAsia"/>
                <w:sz w:val="16"/>
              </w:rPr>
              <w:t>又は右記以外</w:t>
            </w:r>
          </w:p>
        </w:tc>
        <w:tc>
          <w:tcPr>
            <w:tcW w:w="866" w:type="pct"/>
            <w:vAlign w:val="center"/>
          </w:tcPr>
          <w:p w:rsidR="00A70E08" w:rsidRPr="00ED505D" w:rsidRDefault="00A70E08" w:rsidP="004D117D">
            <w:pPr>
              <w:spacing w:line="240" w:lineRule="exact"/>
              <w:rPr>
                <w:rFonts w:hint="eastAsia"/>
                <w:sz w:val="16"/>
              </w:rPr>
            </w:pPr>
            <w:r>
              <w:rPr>
                <w:rFonts w:hint="eastAsia"/>
                <w:sz w:val="16"/>
              </w:rPr>
              <w:t>周辺視野角度(Ⅰ/四視標による。以下同じ</w:t>
            </w:r>
            <w:r>
              <w:rPr>
                <w:sz w:val="16"/>
              </w:rPr>
              <w:t>)</w:t>
            </w:r>
            <w:r>
              <w:rPr>
                <w:rFonts w:hint="eastAsia"/>
                <w:sz w:val="16"/>
              </w:rPr>
              <w:t>の総和が左右眼それぞれ80度以下であり、かつ、両眼中心視野角度(Ⅰ/二視標による。以下同じ</w:t>
            </w:r>
            <w:r>
              <w:rPr>
                <w:sz w:val="16"/>
              </w:rPr>
              <w:t>）</w:t>
            </w:r>
            <w:r>
              <w:rPr>
                <w:rFonts w:hint="eastAsia"/>
                <w:sz w:val="16"/>
              </w:rPr>
              <w:t>が56度以下である。</w:t>
            </w:r>
          </w:p>
        </w:tc>
        <w:tc>
          <w:tcPr>
            <w:tcW w:w="866" w:type="pct"/>
            <w:vAlign w:val="center"/>
          </w:tcPr>
          <w:p w:rsidR="00A70E08" w:rsidRPr="00ED505D" w:rsidRDefault="00A70E08" w:rsidP="003B4538">
            <w:pPr>
              <w:spacing w:line="240" w:lineRule="exact"/>
              <w:rPr>
                <w:rFonts w:hint="eastAsia"/>
                <w:sz w:val="16"/>
              </w:rPr>
            </w:pPr>
            <w:r>
              <w:rPr>
                <w:rFonts w:hint="eastAsia"/>
                <w:sz w:val="16"/>
              </w:rPr>
              <w:t>周辺視野角度の総和が左右眼それぞれ80度以下であり、かつ、両眼中心視野角度が28度以下である。</w:t>
            </w:r>
          </w:p>
        </w:tc>
        <w:tc>
          <w:tcPr>
            <w:tcW w:w="723" w:type="pct"/>
            <w:vMerge w:val="restart"/>
            <w:vAlign w:val="center"/>
          </w:tcPr>
          <w:p w:rsidR="00A70E08" w:rsidRPr="00ED505D" w:rsidRDefault="00A70E08" w:rsidP="003B4538">
            <w:pPr>
              <w:spacing w:line="240" w:lineRule="exact"/>
              <w:rPr>
                <w:sz w:val="16"/>
              </w:rPr>
            </w:pPr>
            <w:r>
              <w:rPr>
                <w:rFonts w:hint="eastAsia"/>
                <w:sz w:val="16"/>
              </w:rPr>
              <w:t>視力障害の１点又は２点の事項に該当せず、視野に障害がある場合に評価する。</w:t>
            </w:r>
          </w:p>
        </w:tc>
        <w:tc>
          <w:tcPr>
            <w:tcW w:w="671" w:type="pct"/>
            <w:vMerge w:val="restart"/>
            <w:vAlign w:val="center"/>
          </w:tcPr>
          <w:p w:rsidR="00A70E08" w:rsidRPr="00ED505D" w:rsidRDefault="00A70E08" w:rsidP="003B4538">
            <w:pPr>
              <w:spacing w:line="240" w:lineRule="exact"/>
              <w:rPr>
                <w:sz w:val="16"/>
              </w:rPr>
            </w:pPr>
          </w:p>
        </w:tc>
      </w:tr>
      <w:tr w:rsidR="00A70E08" w:rsidRPr="00ED505D" w:rsidTr="00936736">
        <w:trPr>
          <w:cantSplit/>
          <w:trHeight w:val="304"/>
        </w:trPr>
        <w:tc>
          <w:tcPr>
            <w:tcW w:w="287" w:type="pct"/>
            <w:vMerge/>
            <w:textDirection w:val="tbRlV"/>
            <w:vAlign w:val="center"/>
          </w:tcPr>
          <w:p w:rsidR="00A70E08" w:rsidRDefault="00A70E08" w:rsidP="003B4538">
            <w:pPr>
              <w:spacing w:line="240" w:lineRule="exact"/>
              <w:ind w:left="113" w:right="113"/>
              <w:jc w:val="center"/>
              <w:rPr>
                <w:rFonts w:hint="eastAsia"/>
                <w:sz w:val="16"/>
              </w:rPr>
            </w:pPr>
          </w:p>
        </w:tc>
        <w:tc>
          <w:tcPr>
            <w:tcW w:w="779" w:type="pct"/>
            <w:vMerge/>
            <w:vAlign w:val="center"/>
          </w:tcPr>
          <w:p w:rsidR="00A70E08" w:rsidRDefault="00A70E08" w:rsidP="003B4538">
            <w:pPr>
              <w:spacing w:line="240" w:lineRule="exact"/>
              <w:rPr>
                <w:rFonts w:hint="eastAsia"/>
                <w:sz w:val="16"/>
              </w:rPr>
            </w:pPr>
          </w:p>
        </w:tc>
        <w:tc>
          <w:tcPr>
            <w:tcW w:w="808" w:type="pct"/>
            <w:vMerge/>
            <w:vAlign w:val="center"/>
          </w:tcPr>
          <w:p w:rsidR="00A70E08" w:rsidRDefault="00A70E08" w:rsidP="003B4538">
            <w:pPr>
              <w:spacing w:line="240" w:lineRule="exact"/>
              <w:rPr>
                <w:rFonts w:hint="eastAsia"/>
                <w:sz w:val="16"/>
              </w:rPr>
            </w:pPr>
          </w:p>
        </w:tc>
        <w:tc>
          <w:tcPr>
            <w:tcW w:w="866" w:type="pct"/>
            <w:vAlign w:val="center"/>
          </w:tcPr>
          <w:p w:rsidR="00A70E08" w:rsidRDefault="00A70E08" w:rsidP="003B4538">
            <w:pPr>
              <w:spacing w:line="240" w:lineRule="exact"/>
              <w:rPr>
                <w:rFonts w:hint="eastAsia"/>
                <w:sz w:val="16"/>
              </w:rPr>
            </w:pPr>
            <w:r>
              <w:rPr>
                <w:rFonts w:hint="eastAsia"/>
                <w:sz w:val="16"/>
              </w:rPr>
              <w:t>両眼開放視認点数が70点以下であり、かつ、両眼中心視野視認点数が</w:t>
            </w:r>
            <w:r>
              <w:rPr>
                <w:sz w:val="16"/>
              </w:rPr>
              <w:t>4</w:t>
            </w:r>
            <w:r>
              <w:rPr>
                <w:rFonts w:hint="eastAsia"/>
                <w:sz w:val="16"/>
              </w:rPr>
              <w:t>0点以下である。</w:t>
            </w:r>
          </w:p>
        </w:tc>
        <w:tc>
          <w:tcPr>
            <w:tcW w:w="866" w:type="pct"/>
            <w:vAlign w:val="center"/>
          </w:tcPr>
          <w:p w:rsidR="00A70E08" w:rsidRDefault="00A70E08" w:rsidP="003B4538">
            <w:pPr>
              <w:spacing w:line="240" w:lineRule="exact"/>
              <w:rPr>
                <w:rFonts w:hint="eastAsia"/>
                <w:sz w:val="16"/>
              </w:rPr>
            </w:pPr>
            <w:r>
              <w:rPr>
                <w:rFonts w:hint="eastAsia"/>
                <w:sz w:val="16"/>
              </w:rPr>
              <w:t>両眼開放視認点数が70点以下であり、かつ、両眼中心視野視認点数が20点以下である。</w:t>
            </w:r>
          </w:p>
        </w:tc>
        <w:tc>
          <w:tcPr>
            <w:tcW w:w="723" w:type="pct"/>
            <w:vMerge/>
            <w:vAlign w:val="center"/>
          </w:tcPr>
          <w:p w:rsidR="00A70E08" w:rsidRDefault="00A70E08" w:rsidP="003B4538">
            <w:pPr>
              <w:spacing w:line="240" w:lineRule="exact"/>
              <w:rPr>
                <w:rFonts w:hint="eastAsia"/>
                <w:sz w:val="16"/>
              </w:rPr>
            </w:pPr>
          </w:p>
        </w:tc>
        <w:tc>
          <w:tcPr>
            <w:tcW w:w="671" w:type="pct"/>
            <w:vMerge/>
            <w:vAlign w:val="center"/>
          </w:tcPr>
          <w:p w:rsidR="00A70E08" w:rsidRPr="00ED505D" w:rsidRDefault="00A70E08" w:rsidP="003B4538">
            <w:pPr>
              <w:spacing w:line="240" w:lineRule="exact"/>
              <w:rPr>
                <w:sz w:val="16"/>
              </w:rPr>
            </w:pPr>
          </w:p>
        </w:tc>
      </w:tr>
      <w:tr w:rsidR="003B4538" w:rsidRPr="00ED505D" w:rsidTr="00A70E08">
        <w:trPr>
          <w:cantSplit/>
          <w:trHeight w:val="2782"/>
        </w:trPr>
        <w:tc>
          <w:tcPr>
            <w:tcW w:w="287" w:type="pct"/>
            <w:textDirection w:val="tbRlV"/>
            <w:vAlign w:val="center"/>
          </w:tcPr>
          <w:p w:rsidR="00ED505D" w:rsidRPr="00ED505D" w:rsidRDefault="00ED505D" w:rsidP="003B4538">
            <w:pPr>
              <w:spacing w:line="240" w:lineRule="exact"/>
              <w:ind w:left="113" w:right="113"/>
              <w:jc w:val="center"/>
              <w:rPr>
                <w:sz w:val="16"/>
              </w:rPr>
            </w:pPr>
            <w:r>
              <w:rPr>
                <w:rFonts w:hint="eastAsia"/>
                <w:sz w:val="16"/>
              </w:rPr>
              <w:t>夜盲</w:t>
            </w:r>
          </w:p>
        </w:tc>
        <w:tc>
          <w:tcPr>
            <w:tcW w:w="779" w:type="pct"/>
            <w:vAlign w:val="center"/>
          </w:tcPr>
          <w:p w:rsidR="00ED505D" w:rsidRPr="00ED505D" w:rsidRDefault="00ED505D" w:rsidP="003B4538">
            <w:pPr>
              <w:spacing w:line="240" w:lineRule="exact"/>
              <w:rPr>
                <w:sz w:val="16"/>
              </w:rPr>
            </w:pPr>
            <w:r>
              <w:rPr>
                <w:rFonts w:hint="eastAsia"/>
                <w:sz w:val="16"/>
              </w:rPr>
              <w:t>網膜色素変性症等による夜盲等</w:t>
            </w:r>
          </w:p>
        </w:tc>
        <w:tc>
          <w:tcPr>
            <w:tcW w:w="808" w:type="pct"/>
            <w:vAlign w:val="center"/>
          </w:tcPr>
          <w:p w:rsidR="00936736" w:rsidRDefault="00936736" w:rsidP="00936736">
            <w:pPr>
              <w:spacing w:line="240" w:lineRule="exact"/>
              <w:rPr>
                <w:sz w:val="16"/>
              </w:rPr>
            </w:pPr>
            <w:r>
              <w:rPr>
                <w:rFonts w:hint="eastAsia"/>
                <w:sz w:val="16"/>
              </w:rPr>
              <w:t>ない</w:t>
            </w:r>
          </w:p>
          <w:p w:rsidR="00ED505D" w:rsidRPr="00ED505D" w:rsidRDefault="00936736" w:rsidP="00936736">
            <w:pPr>
              <w:spacing w:line="240" w:lineRule="exact"/>
              <w:rPr>
                <w:sz w:val="16"/>
              </w:rPr>
            </w:pPr>
            <w:r>
              <w:rPr>
                <w:rFonts w:hint="eastAsia"/>
                <w:sz w:val="16"/>
              </w:rPr>
              <w:t>又は右記以外</w:t>
            </w:r>
          </w:p>
        </w:tc>
        <w:tc>
          <w:tcPr>
            <w:tcW w:w="866" w:type="pct"/>
            <w:vAlign w:val="center"/>
          </w:tcPr>
          <w:p w:rsidR="00ED505D" w:rsidRPr="00ED505D" w:rsidRDefault="00ED505D" w:rsidP="003B4538">
            <w:pPr>
              <w:spacing w:line="240" w:lineRule="exact"/>
              <w:rPr>
                <w:sz w:val="16"/>
              </w:rPr>
            </w:pPr>
            <w:r>
              <w:rPr>
                <w:rFonts w:hint="eastAsia"/>
                <w:sz w:val="16"/>
              </w:rPr>
              <w:t>暗い場所や夜間等の移動の際、慣れた場所以外では歩行できない程度の視野、視力等の能力の低下がある。</w:t>
            </w:r>
          </w:p>
        </w:tc>
        <w:tc>
          <w:tcPr>
            <w:tcW w:w="866" w:type="pct"/>
            <w:vAlign w:val="center"/>
          </w:tcPr>
          <w:p w:rsidR="00ED505D" w:rsidRPr="00ED505D" w:rsidRDefault="00ED505D" w:rsidP="00936736">
            <w:pPr>
              <w:spacing w:line="240" w:lineRule="exact"/>
              <w:jc w:val="center"/>
              <w:rPr>
                <w:sz w:val="16"/>
              </w:rPr>
            </w:pPr>
            <w:r>
              <w:rPr>
                <w:rFonts w:hint="eastAsia"/>
                <w:sz w:val="16"/>
              </w:rPr>
              <w:t>－</w:t>
            </w:r>
          </w:p>
        </w:tc>
        <w:tc>
          <w:tcPr>
            <w:tcW w:w="723" w:type="pct"/>
            <w:vAlign w:val="center"/>
          </w:tcPr>
          <w:p w:rsidR="00ED505D" w:rsidRPr="00ED505D" w:rsidRDefault="00ED505D" w:rsidP="003B4538">
            <w:pPr>
              <w:spacing w:line="240" w:lineRule="exact"/>
              <w:rPr>
                <w:sz w:val="16"/>
              </w:rPr>
            </w:pPr>
            <w:r>
              <w:rPr>
                <w:rFonts w:hint="eastAsia"/>
                <w:sz w:val="16"/>
              </w:rPr>
              <w:t>視力障害又は視野障害の１点又は２点の事項に該当せず、夜盲等の症状により移動に著しく困難を来したものである場合に評価する。必要に応じて医師意見書を添付する。</w:t>
            </w:r>
          </w:p>
        </w:tc>
        <w:tc>
          <w:tcPr>
            <w:tcW w:w="671" w:type="pct"/>
            <w:vAlign w:val="center"/>
          </w:tcPr>
          <w:p w:rsidR="00ED505D" w:rsidRPr="00ED505D" w:rsidRDefault="00ED505D" w:rsidP="003B4538">
            <w:pPr>
              <w:spacing w:line="240" w:lineRule="exact"/>
              <w:rPr>
                <w:sz w:val="16"/>
              </w:rPr>
            </w:pPr>
            <w:r>
              <w:rPr>
                <w:rFonts w:hint="eastAsia"/>
                <w:sz w:val="16"/>
              </w:rPr>
              <w:t>人的支援なしに、視覚情報により単独歩行が可能な場合に「歩行できる」と判断する。</w:t>
            </w:r>
          </w:p>
        </w:tc>
      </w:tr>
      <w:tr w:rsidR="003B4538" w:rsidRPr="00ED505D" w:rsidTr="00A70E08">
        <w:trPr>
          <w:cantSplit/>
          <w:trHeight w:val="1546"/>
        </w:trPr>
        <w:tc>
          <w:tcPr>
            <w:tcW w:w="287" w:type="pct"/>
            <w:textDirection w:val="tbRlV"/>
            <w:vAlign w:val="center"/>
          </w:tcPr>
          <w:p w:rsidR="00ED505D" w:rsidRPr="00ED505D" w:rsidRDefault="00ED505D" w:rsidP="003B4538">
            <w:pPr>
              <w:spacing w:line="240" w:lineRule="exact"/>
              <w:ind w:left="113" w:right="113"/>
              <w:jc w:val="center"/>
              <w:rPr>
                <w:sz w:val="16"/>
              </w:rPr>
            </w:pPr>
            <w:r>
              <w:rPr>
                <w:rFonts w:hint="eastAsia"/>
                <w:sz w:val="16"/>
              </w:rPr>
              <w:t>移動障害</w:t>
            </w:r>
          </w:p>
        </w:tc>
        <w:tc>
          <w:tcPr>
            <w:tcW w:w="779" w:type="pct"/>
            <w:vAlign w:val="center"/>
          </w:tcPr>
          <w:p w:rsidR="00ED505D" w:rsidRPr="00ED505D" w:rsidRDefault="00ED505D" w:rsidP="003B4538">
            <w:pPr>
              <w:spacing w:line="240" w:lineRule="exact"/>
              <w:rPr>
                <w:sz w:val="16"/>
              </w:rPr>
            </w:pPr>
            <w:r>
              <w:rPr>
                <w:rFonts w:hint="eastAsia"/>
                <w:sz w:val="16"/>
              </w:rPr>
              <w:t>盲人安全つえ（又は盲導犬）の使用による単独歩行</w:t>
            </w:r>
          </w:p>
        </w:tc>
        <w:tc>
          <w:tcPr>
            <w:tcW w:w="808" w:type="pct"/>
            <w:vAlign w:val="center"/>
          </w:tcPr>
          <w:p w:rsidR="00ED505D" w:rsidRPr="00ED505D" w:rsidRDefault="00ED505D" w:rsidP="003B4538">
            <w:pPr>
              <w:spacing w:line="240" w:lineRule="exact"/>
              <w:rPr>
                <w:sz w:val="16"/>
              </w:rPr>
            </w:pPr>
            <w:r>
              <w:rPr>
                <w:rFonts w:hint="eastAsia"/>
                <w:sz w:val="16"/>
              </w:rPr>
              <w:t>慣れていない場所であっても歩行ができる。</w:t>
            </w:r>
          </w:p>
        </w:tc>
        <w:tc>
          <w:tcPr>
            <w:tcW w:w="866" w:type="pct"/>
            <w:vAlign w:val="center"/>
          </w:tcPr>
          <w:p w:rsidR="00ED505D" w:rsidRPr="00ED505D" w:rsidRDefault="00ED505D" w:rsidP="003B4538">
            <w:pPr>
              <w:spacing w:line="240" w:lineRule="exact"/>
              <w:rPr>
                <w:sz w:val="16"/>
              </w:rPr>
            </w:pPr>
            <w:r>
              <w:rPr>
                <w:rFonts w:hint="eastAsia"/>
                <w:sz w:val="16"/>
              </w:rPr>
              <w:t>慣れた場所での歩行のみできる。</w:t>
            </w:r>
          </w:p>
        </w:tc>
        <w:tc>
          <w:tcPr>
            <w:tcW w:w="866" w:type="pct"/>
            <w:vAlign w:val="center"/>
          </w:tcPr>
          <w:p w:rsidR="00ED505D" w:rsidRPr="00ED505D" w:rsidRDefault="00ED505D" w:rsidP="003B4538">
            <w:pPr>
              <w:spacing w:line="240" w:lineRule="exact"/>
              <w:rPr>
                <w:sz w:val="16"/>
              </w:rPr>
            </w:pPr>
            <w:r>
              <w:rPr>
                <w:rFonts w:hint="eastAsia"/>
                <w:sz w:val="16"/>
              </w:rPr>
              <w:t>慣れた場所であっても歩行ができない。</w:t>
            </w:r>
          </w:p>
        </w:tc>
        <w:tc>
          <w:tcPr>
            <w:tcW w:w="723" w:type="pct"/>
            <w:vAlign w:val="center"/>
          </w:tcPr>
          <w:p w:rsidR="00ED505D" w:rsidRPr="00ED505D" w:rsidRDefault="00ED505D" w:rsidP="003B4538">
            <w:pPr>
              <w:spacing w:line="240" w:lineRule="exact"/>
              <w:rPr>
                <w:sz w:val="16"/>
              </w:rPr>
            </w:pPr>
            <w:r>
              <w:rPr>
                <w:rFonts w:hint="eastAsia"/>
                <w:sz w:val="16"/>
              </w:rPr>
              <w:t>夜盲による移動障害の場合は、夜間や照明が不十分な場所等を想定したものとする。</w:t>
            </w:r>
          </w:p>
        </w:tc>
        <w:tc>
          <w:tcPr>
            <w:tcW w:w="671" w:type="pct"/>
            <w:vAlign w:val="center"/>
          </w:tcPr>
          <w:p w:rsidR="00ED505D" w:rsidRPr="00ED505D" w:rsidRDefault="00ED505D" w:rsidP="003B4538">
            <w:pPr>
              <w:spacing w:line="240" w:lineRule="exact"/>
              <w:rPr>
                <w:sz w:val="16"/>
              </w:rPr>
            </w:pPr>
            <w:r>
              <w:rPr>
                <w:rFonts w:hint="eastAsia"/>
                <w:sz w:val="16"/>
              </w:rPr>
              <w:t>人的支援なしに、視覚情報により単独歩行が可能な場合に「歩行できる」と判断する。</w:t>
            </w:r>
          </w:p>
        </w:tc>
      </w:tr>
    </w:tbl>
    <w:p w:rsidR="00936736" w:rsidRDefault="00936736">
      <w:pPr>
        <w:rPr>
          <w:sz w:val="16"/>
        </w:rPr>
        <w:sectPr w:rsidR="00936736" w:rsidSect="003B4538">
          <w:pgSz w:w="11906" w:h="16838"/>
          <w:pgMar w:top="720" w:right="720" w:bottom="720" w:left="720" w:header="851" w:footer="992" w:gutter="0"/>
          <w:cols w:space="425"/>
          <w:docGrid w:type="lines" w:linePitch="360"/>
        </w:sectPr>
      </w:pPr>
    </w:p>
    <w:p w:rsidR="00ED505D" w:rsidRDefault="00ED505D" w:rsidP="00936736">
      <w:pPr>
        <w:spacing w:line="240" w:lineRule="exact"/>
        <w:rPr>
          <w:sz w:val="16"/>
        </w:rPr>
      </w:pPr>
      <w:r>
        <w:rPr>
          <w:rFonts w:hint="eastAsia"/>
          <w:sz w:val="16"/>
        </w:rPr>
        <w:t>注１．「夜盲等」の「等」については、網膜色素変性症、錐体ジストロフィー、白子症等による「過度の羞明」等をいう。</w:t>
      </w:r>
    </w:p>
    <w:p w:rsidR="00936736" w:rsidRDefault="00936736" w:rsidP="00936736">
      <w:pPr>
        <w:spacing w:line="240" w:lineRule="exact"/>
        <w:rPr>
          <w:sz w:val="16"/>
        </w:rPr>
      </w:pPr>
      <w:r>
        <w:rPr>
          <w:rFonts w:hint="eastAsia"/>
          <w:sz w:val="16"/>
        </w:rPr>
        <w:t>注２．「歩行」については、車いす等による移動手段を含む。</w:t>
      </w:r>
    </w:p>
    <w:p w:rsidR="00B50D57" w:rsidRPr="00ED505D" w:rsidRDefault="00936736" w:rsidP="00936736">
      <w:pPr>
        <w:ind w:right="840"/>
        <w:rPr>
          <w:sz w:val="16"/>
        </w:rPr>
      </w:pPr>
      <w:r>
        <w:rPr>
          <w:rFonts w:hint="eastAsia"/>
          <w:sz w:val="16"/>
        </w:rPr>
        <w:t xml:space="preserve">　　　　　　　</w:t>
      </w:r>
      <w:r>
        <w:rPr>
          <w:noProof/>
        </w:rPr>
        <w:drawing>
          <wp:inline distT="0" distB="0" distL="0" distR="0" wp14:anchorId="61BD0A38" wp14:editId="2C3DFEAE">
            <wp:extent cx="1686911" cy="1802942"/>
            <wp:effectExtent l="0" t="0" r="889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20925" t="12119" r="24900" b="12564"/>
                    <a:stretch/>
                  </pic:blipFill>
                  <pic:spPr bwMode="auto">
                    <a:xfrm>
                      <a:off x="0" y="0"/>
                      <a:ext cx="1720662" cy="1839015"/>
                    </a:xfrm>
                    <a:prstGeom prst="rect">
                      <a:avLst/>
                    </a:prstGeom>
                    <a:ln>
                      <a:noFill/>
                    </a:ln>
                    <a:extLst>
                      <a:ext uri="{53640926-AAD7-44D8-BBD7-CCE9431645EC}">
                        <a14:shadowObscured xmlns:a14="http://schemas.microsoft.com/office/drawing/2010/main"/>
                      </a:ext>
                    </a:extLst>
                  </pic:spPr>
                </pic:pic>
              </a:graphicData>
            </a:graphic>
          </wp:inline>
        </w:drawing>
      </w:r>
    </w:p>
    <w:sectPr w:rsidR="00B50D57" w:rsidRPr="00ED505D" w:rsidSect="00936736">
      <w:type w:val="continuous"/>
      <w:pgSz w:w="11906" w:h="16838"/>
      <w:pgMar w:top="720" w:right="720" w:bottom="720" w:left="720"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UJ明朝体">
    <w:panose1 w:val="02020309000000000000"/>
    <w:charset w:val="80"/>
    <w:family w:val="roman"/>
    <w:pitch w:val="fixed"/>
    <w:sig w:usb0="800002BF" w:usb1="0847FCFF"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2EB"/>
    <w:rsid w:val="003B4538"/>
    <w:rsid w:val="004D117D"/>
    <w:rsid w:val="005E79FB"/>
    <w:rsid w:val="00936736"/>
    <w:rsid w:val="00A70E08"/>
    <w:rsid w:val="00B50D57"/>
    <w:rsid w:val="00D73D3B"/>
    <w:rsid w:val="00EB02EB"/>
    <w:rsid w:val="00ED5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A62228"/>
  <w15:chartTrackingRefBased/>
  <w15:docId w15:val="{A099BD99-1FBD-4EA0-A824-15710AFEB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UJ明朝体" w:eastAsia="FUJ明朝体" w:hAnsi="FUJ明朝体"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5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3D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3D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cp:lastPrinted>2019-10-20T23:46:00Z</cp:lastPrinted>
  <dcterms:created xsi:type="dcterms:W3CDTF">2019-10-18T12:12:00Z</dcterms:created>
  <dcterms:modified xsi:type="dcterms:W3CDTF">2020-01-20T09:13:00Z</dcterms:modified>
</cp:coreProperties>
</file>